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bookmarkStart w:id="0" w:name="_GoBack"/>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92EC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absolute measurement accuracy</w:t>
      </w:r>
    </w:p>
    <w:p w:rsidR="00B5525F" w:rsidRPr="00A92EC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SS-SINR</w:t>
      </w:r>
      <w:r w:rsidRPr="000704EE">
        <w:rPr>
          <w:rFonts w:ascii="Arial" w:hAnsi="Arial"/>
        </w:rPr>
        <w:t xml:space="preserve"> absolute measurement accuracy</w:t>
      </w:r>
    </w:p>
    <w:p w:rsidR="00A92EC0" w:rsidRPr="00C31835" w:rsidRDefault="00A92EC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 xml:space="preserve">6.7.3.4.1, </w:t>
      </w:r>
      <w:r w:rsidRPr="00A92EC0">
        <w:rPr>
          <w:rFonts w:ascii="Arial" w:hAnsi="Arial" w:cs="Arial"/>
          <w:lang w:eastAsia="zh-CN"/>
        </w:rPr>
        <w:t>NR SA FR1-FR1 Inter-frequency absolute measurement accuracy with FR1 serving cell and FR1 target cell for 2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 xml:space="preserve">v16.2.0 </w:t>
      </w:r>
      <w:r>
        <w:rPr>
          <w:rFonts w:ascii="Arial" w:hAnsi="Arial" w:cs="Arial"/>
        </w:rPr>
        <w:t>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6" w:name="_Toc231531227"/>
      <w:bookmarkEnd w:id="1"/>
      <w:bookmarkEnd w:id="2"/>
      <w:bookmarkEnd w:id="3"/>
      <w:bookmarkEnd w:id="4"/>
      <w:bookmarkEnd w:id="5"/>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SS-SINR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absolute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SS-SINR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PCell</w:t>
      </w:r>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xml:space="preserve">: SS-SINR </w:t>
      </w:r>
      <w:r w:rsidRPr="00134ED7">
        <w:rPr>
          <w:rFonts w:ascii="Arial" w:hAnsi="Arial"/>
          <w:b/>
          <w:highlight w:val="lightGray"/>
          <w:lang w:eastAsia="zh-CN"/>
        </w:rPr>
        <w:t xml:space="preserve">Inter </w:t>
      </w:r>
      <w:r w:rsidRPr="00134ED7">
        <w:rPr>
          <w:rFonts w:ascii="Arial" w:hAnsi="Arial"/>
          <w:b/>
          <w:highlight w:val="lightGray"/>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FDD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15 kHz SSB SCS,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NR 30 kHz SSB SCS,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SS-SINR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FDD</w:t>
            </w:r>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lastRenderedPageBreak/>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lang w:val="en-US"/>
              </w:rPr>
              <w:t xml:space="preserve">DRX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ms</w:t>
            </w: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TRS.1.1 FDD</w:t>
            </w:r>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SR.1.1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R.1.1 FDD</w:t>
            </w:r>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FDD</w:t>
            </w:r>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CCR.1.1 FDD</w:t>
            </w:r>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 xml:space="preserve">EPRE ratio of OCNG DMRS to </w:t>
            </w:r>
            <w:proofErr w:type="gramStart"/>
            <w:r w:rsidRPr="00134ED7">
              <w:rPr>
                <w:rFonts w:ascii="Arial" w:hAnsi="Arial" w:cs="Arial"/>
                <w:sz w:val="16"/>
                <w:szCs w:val="16"/>
                <w:highlight w:val="lightGray"/>
                <w:lang w:eastAsia="ja-JP"/>
              </w:rPr>
              <w:t>SSS(</w:t>
            </w:r>
            <w:proofErr w:type="gramEnd"/>
            <w:r w:rsidRPr="00134ED7">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9pt" o:ole="" fillcolor="window">
                  <v:imagedata r:id="rId7" o:title=""/>
                </v:shape>
                <o:OLEObject Type="Embed" ProgID="Equation.3" ShapeID="_x0000_i1025" DrawAspect="Content" ObjectID="_1769536651"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0.9pt;height:13.9pt" o:ole="" fillcolor="window">
                  <v:imagedata r:id="rId7" o:title=""/>
                </v:shape>
                <o:OLEObject Type="Embed" ProgID="Equation.3" ShapeID="_x0000_i1026" DrawAspect="Content" ObjectID="_1769536652"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Same as Noc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15pt;height:20.9pt" o:ole="" fillcolor="window">
                  <v:imagedata r:id="rId10" o:title=""/>
                </v:shape>
                <o:OLEObject Type="Embed" ProgID="Equation.3" ShapeID="_x0000_i1027" DrawAspect="Content" ObjectID="_1769536653"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3.65pt;height:20.9pt" o:ole="" fillcolor="window">
                  <v:imagedata r:id="rId12" o:title=""/>
                </v:shape>
                <o:OLEObject Type="Embed" ProgID="Equation.3" ShapeID="_x0000_i1028" DrawAspect="Content" ObjectID="_1769536654"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SS-RSRP</w:t>
            </w:r>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D003B9"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AWGN</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t>OCNG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AWGN of appropriate power for </w:t>
            </w:r>
            <w:r w:rsidRPr="00134ED7">
              <w:rPr>
                <w:rFonts w:eastAsia="Calibri" w:cs="v4.2.0"/>
                <w:position w:val="-12"/>
                <w:szCs w:val="22"/>
                <w:highlight w:val="lightGray"/>
                <w:lang w:val="en-US"/>
              </w:rPr>
              <w:object w:dxaOrig="405" w:dyaOrig="345">
                <v:shape id="_x0000_i1029" type="#_x0000_t75" style="width:20.9pt;height:13.9pt" o:ole="" fillcolor="window">
                  <v:imagedata r:id="rId7" o:title=""/>
                </v:shape>
                <o:OLEObject Type="Embed" ProgID="Equation.3" ShapeID="_x0000_i1029" DrawAspect="Content" ObjectID="_1769536655"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SS-SINR, SS-RSRP,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SS-SINR, SS-RSRP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SS-SINR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SS-SINR</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Es/Iot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w:t>
      </w:r>
      <w:proofErr w:type="gramStart"/>
      <w:r w:rsidRPr="00123986">
        <w:rPr>
          <w:rFonts w:ascii="Arial" w:hAnsi="Arial" w:hint="eastAsia"/>
          <w:lang w:eastAsia="zh-CN"/>
        </w:rPr>
        <w:t>Iot</w:t>
      </w:r>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457565">
        <w:rPr>
          <w:rFonts w:ascii="Arial" w:hAnsi="Arial"/>
          <w:lang w:eastAsia="zh-CN"/>
        </w:rPr>
        <w:t xml:space="preserve">SSB </w:t>
      </w:r>
      <w:r w:rsidR="00FA0001" w:rsidRPr="00123986">
        <w:rPr>
          <w:rFonts w:ascii="Arial" w:hAnsi="Arial" w:hint="eastAsia"/>
          <w:lang w:eastAsia="zh-CN"/>
        </w:rPr>
        <w:t>Es/Iot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r>
        <w:rPr>
          <w:rFonts w:ascii="Arial" w:hAnsi="Arial"/>
        </w:rPr>
        <w:t>Noc at frequency 1</w:t>
      </w:r>
    </w:p>
    <w:p w:rsidR="005D3C69" w:rsidRDefault="005D3C69" w:rsidP="00513D79">
      <w:pPr>
        <w:numPr>
          <w:ilvl w:val="0"/>
          <w:numId w:val="13"/>
        </w:numPr>
        <w:overflowPunct/>
        <w:jc w:val="both"/>
        <w:textAlignment w:val="auto"/>
        <w:rPr>
          <w:rFonts w:ascii="Arial" w:hAnsi="Arial"/>
        </w:rPr>
      </w:pPr>
      <w:r>
        <w:rPr>
          <w:rFonts w:ascii="Arial" w:hAnsi="Arial"/>
        </w:rPr>
        <w:t>Noc at frequency 2</w:t>
      </w:r>
    </w:p>
    <w:p w:rsidR="005D3C69" w:rsidRDefault="005D3C69" w:rsidP="00513D79">
      <w:pPr>
        <w:numPr>
          <w:ilvl w:val="0"/>
          <w:numId w:val="13"/>
        </w:numPr>
        <w:overflowPunct/>
        <w:jc w:val="both"/>
        <w:textAlignment w:val="auto"/>
        <w:rPr>
          <w:rFonts w:ascii="Arial" w:hAnsi="Arial"/>
        </w:rPr>
      </w:pPr>
      <w:r>
        <w:rPr>
          <w:rFonts w:ascii="Arial" w:hAnsi="Arial"/>
        </w:rPr>
        <w:t>Cell 1 Es / Noc</w:t>
      </w:r>
    </w:p>
    <w:p w:rsidR="005D3C69" w:rsidRDefault="005D3C69" w:rsidP="00513D79">
      <w:pPr>
        <w:numPr>
          <w:ilvl w:val="0"/>
          <w:numId w:val="13"/>
        </w:numPr>
        <w:overflowPunct/>
        <w:jc w:val="both"/>
        <w:textAlignment w:val="auto"/>
        <w:rPr>
          <w:rFonts w:ascii="Arial" w:hAnsi="Arial"/>
        </w:rPr>
      </w:pPr>
      <w:r>
        <w:rPr>
          <w:rFonts w:ascii="Arial" w:hAnsi="Arial"/>
        </w:rPr>
        <w:t>Cell 2 Es / Noc</w:t>
      </w:r>
    </w:p>
    <w:p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xml:space="preserve">, </w:t>
      </w:r>
      <w:r w:rsidR="00457565">
        <w:rPr>
          <w:rFonts w:ascii="Arial" w:hAnsi="Arial"/>
        </w:rPr>
        <w:t xml:space="preserve">SSB </w:t>
      </w:r>
      <w:r>
        <w:rPr>
          <w:rFonts w:ascii="Arial" w:hAnsi="Arial"/>
        </w:rPr>
        <w:t>Es/Iot,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C559D2" w:rsidRPr="00C559D2" w:rsidRDefault="00C559D2" w:rsidP="00C559D2">
      <w:pPr>
        <w:keepNext/>
        <w:keepLines/>
        <w:spacing w:before="120"/>
        <w:ind w:left="1701" w:hanging="1701"/>
        <w:outlineLvl w:val="4"/>
        <w:rPr>
          <w:rFonts w:ascii="Arial" w:hAnsi="Arial"/>
          <w:sz w:val="22"/>
          <w:highlight w:val="lightGray"/>
          <w:lang w:val="en-US" w:eastAsia="zh-CN"/>
        </w:rPr>
      </w:pPr>
      <w:r w:rsidRPr="00C559D2">
        <w:rPr>
          <w:rFonts w:ascii="Arial" w:hAnsi="Arial"/>
          <w:sz w:val="22"/>
          <w:highlight w:val="lightGray"/>
          <w:lang w:val="en-US" w:eastAsia="zh-CN"/>
        </w:rPr>
        <w:t>10.1.14.1.1</w:t>
      </w:r>
      <w:r w:rsidRPr="00C559D2">
        <w:rPr>
          <w:rFonts w:ascii="Arial" w:hAnsi="Arial"/>
          <w:sz w:val="22"/>
          <w:highlight w:val="lightGray"/>
          <w:lang w:val="en-US" w:eastAsia="zh-CN"/>
        </w:rPr>
        <w:tab/>
      </w:r>
      <w:r w:rsidRPr="00C559D2">
        <w:rPr>
          <w:rFonts w:ascii="Arial" w:hAnsi="Arial"/>
          <w:sz w:val="22"/>
          <w:highlight w:val="lightGray"/>
          <w:lang w:eastAsia="zh-CN"/>
        </w:rPr>
        <w:t>Aboslute</w:t>
      </w:r>
      <w:r w:rsidRPr="00C559D2">
        <w:rPr>
          <w:rFonts w:ascii="Arial" w:hAnsi="Arial"/>
          <w:sz w:val="22"/>
          <w:highlight w:val="lightGray"/>
        </w:rPr>
        <w:t xml:space="preserve"> Accuracy of </w:t>
      </w:r>
      <w:r w:rsidRPr="00C559D2">
        <w:rPr>
          <w:rFonts w:ascii="Arial" w:hAnsi="Arial"/>
          <w:sz w:val="22"/>
          <w:highlight w:val="lightGray"/>
          <w:lang w:eastAsia="zh-CN"/>
        </w:rPr>
        <w:t>SS-SINR</w:t>
      </w:r>
      <w:r w:rsidRPr="00C559D2">
        <w:rPr>
          <w:rFonts w:ascii="Arial" w:hAnsi="Arial"/>
          <w:sz w:val="22"/>
          <w:highlight w:val="lightGray"/>
          <w:lang w:val="en-US" w:eastAsia="zh-CN"/>
        </w:rPr>
        <w:t xml:space="preserve"> in FR1</w:t>
      </w:r>
    </w:p>
    <w:p w:rsidR="00C559D2" w:rsidRPr="00C559D2" w:rsidRDefault="00C559D2" w:rsidP="00C559D2">
      <w:pPr>
        <w:rPr>
          <w:rFonts w:cs="v4.2.0"/>
          <w:i/>
          <w:highlight w:val="lightGray"/>
        </w:rPr>
      </w:pPr>
      <w:r w:rsidRPr="00C559D2">
        <w:rPr>
          <w:rFonts w:cs="v4.2.0"/>
          <w:highlight w:val="lightGray"/>
        </w:rPr>
        <w:t>The requirements for absolute accuracy of</w:t>
      </w:r>
      <w:r w:rsidRPr="00C559D2">
        <w:rPr>
          <w:rFonts w:cs="v4.2.0"/>
          <w:highlight w:val="lightGray"/>
          <w:lang w:eastAsia="zh-CN"/>
        </w:rPr>
        <w:t xml:space="preserve"> SS-SINR</w:t>
      </w:r>
      <w:r w:rsidRPr="00C559D2">
        <w:rPr>
          <w:rFonts w:cs="v4.2.0"/>
          <w:highlight w:val="lightGray"/>
        </w:rPr>
        <w:t xml:space="preserve"> in this clause apply to a cell on a frequency in FR1 that has different carrier frequency from the serving cell.</w:t>
      </w:r>
    </w:p>
    <w:p w:rsidR="00C559D2" w:rsidRPr="00C559D2" w:rsidRDefault="00C559D2" w:rsidP="00C559D2">
      <w:pPr>
        <w:rPr>
          <w:rFonts w:cs="v4.2.0"/>
          <w:highlight w:val="lightGray"/>
        </w:rPr>
      </w:pPr>
      <w:r w:rsidRPr="00C559D2">
        <w:rPr>
          <w:rFonts w:cs="v4.2.0"/>
          <w:highlight w:val="lightGray"/>
        </w:rPr>
        <w:t xml:space="preserve">The accuracy requirements in Table </w:t>
      </w:r>
      <w:r w:rsidRPr="00C559D2">
        <w:rPr>
          <w:rFonts w:cs="v4.2.0"/>
          <w:highlight w:val="lightGray"/>
          <w:lang w:eastAsia="zh-CN"/>
        </w:rPr>
        <w:t>10.1.14.1.1</w:t>
      </w:r>
      <w:r w:rsidRPr="00C559D2">
        <w:rPr>
          <w:rFonts w:cs="v4.2.0"/>
          <w:highlight w:val="lightGray"/>
        </w:rPr>
        <w:t>-1 are valid under the following conditions:</w:t>
      </w:r>
    </w:p>
    <w:p w:rsidR="00C559D2" w:rsidRPr="00C559D2" w:rsidRDefault="00C559D2" w:rsidP="00C559D2">
      <w:pPr>
        <w:ind w:left="568" w:hanging="284"/>
        <w:rPr>
          <w:rFonts w:cs="v4.2.0"/>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defined in clause 7.3 of TS 38.101-1 [18] for reference sensitivity are fulfilled.</w:t>
      </w:r>
    </w:p>
    <w:p w:rsidR="00C559D2" w:rsidRPr="00C559D2" w:rsidRDefault="00C559D2" w:rsidP="00C559D2">
      <w:pPr>
        <w:ind w:left="568" w:hanging="284"/>
        <w:rPr>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for inter-frequency measurements are fulfilled according to Annex B.2.3 for a corresponding Band.</w:t>
      </w:r>
    </w:p>
    <w:p w:rsidR="00C559D2" w:rsidRPr="00C559D2" w:rsidRDefault="00C559D2" w:rsidP="00C559D2">
      <w:pPr>
        <w:keepNext/>
        <w:keepLines/>
        <w:spacing w:before="60"/>
        <w:jc w:val="center"/>
        <w:rPr>
          <w:rFonts w:ascii="Arial" w:hAnsi="Arial"/>
          <w:b/>
          <w:highlight w:val="lightGray"/>
          <w:lang w:eastAsia="zh-CN"/>
        </w:rPr>
      </w:pPr>
      <w:r w:rsidRPr="00C559D2">
        <w:rPr>
          <w:rFonts w:ascii="Arial" w:hAnsi="Arial"/>
          <w:b/>
          <w:highlight w:val="lightGray"/>
        </w:rPr>
        <w:t xml:space="preserve">Table </w:t>
      </w:r>
      <w:r w:rsidRPr="00C559D2">
        <w:rPr>
          <w:rFonts w:ascii="Arial" w:hAnsi="Arial"/>
          <w:b/>
          <w:highlight w:val="lightGray"/>
          <w:lang w:eastAsia="zh-CN"/>
        </w:rPr>
        <w:t>10.1.14.1.1</w:t>
      </w:r>
      <w:r w:rsidRPr="00C559D2">
        <w:rPr>
          <w:rFonts w:ascii="Arial" w:hAnsi="Arial"/>
          <w:b/>
          <w:highlight w:val="lightGray"/>
        </w:rPr>
        <w:t xml:space="preserve">-1: </w:t>
      </w:r>
      <w:r w:rsidRPr="00C559D2">
        <w:rPr>
          <w:rFonts w:ascii="Arial" w:hAnsi="Arial"/>
          <w:b/>
          <w:highlight w:val="lightGray"/>
          <w:lang w:eastAsia="zh-CN"/>
        </w:rPr>
        <w:t>SS-SINR</w:t>
      </w:r>
      <w:r w:rsidRPr="00C559D2">
        <w:rPr>
          <w:rFonts w:ascii="Arial" w:hAnsi="Arial"/>
          <w:b/>
          <w:highlight w:val="lightGray"/>
        </w:rPr>
        <w:t xml:space="preserve"> Inter frequency absolute accuracy</w:t>
      </w:r>
      <w:r w:rsidRPr="00C559D2">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59D2" w:rsidRPr="00C559D2" w:rsidTr="00B8152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Conditions</w:t>
            </w:r>
          </w:p>
        </w:tc>
      </w:tr>
      <w:tr w:rsidR="00C559D2" w:rsidRPr="00C559D2" w:rsidTr="00B8152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SSB Ês/Iot</w:t>
            </w:r>
            <w:r w:rsidRPr="00C559D2">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Io</w:t>
            </w:r>
            <w:r w:rsidRPr="00C559D2">
              <w:rPr>
                <w:rFonts w:ascii="Arial" w:hAnsi="Arial"/>
                <w:b/>
                <w:sz w:val="18"/>
                <w:highlight w:val="lightGray"/>
                <w:vertAlign w:val="superscript"/>
                <w:lang w:eastAsia="zh-CN"/>
              </w:rPr>
              <w:t xml:space="preserve"> Note 1</w:t>
            </w:r>
            <w:r w:rsidRPr="00C559D2">
              <w:rPr>
                <w:rFonts w:ascii="Arial" w:hAnsi="Arial"/>
                <w:b/>
                <w:sz w:val="18"/>
                <w:highlight w:val="lightGray"/>
              </w:rPr>
              <w:t xml:space="preserve"> range</w:t>
            </w:r>
          </w:p>
        </w:tc>
      </w:tr>
      <w:tr w:rsidR="00C559D2" w:rsidRPr="00C559D2" w:rsidTr="00B8152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NR operating band groups</w:t>
            </w:r>
            <w:r w:rsidRPr="00C559D2">
              <w:rPr>
                <w:rFonts w:ascii="Arial" w:hAnsi="Arial"/>
                <w:b/>
                <w:sz w:val="18"/>
                <w:highlight w:val="lightGray"/>
                <w:vertAlign w:val="superscript"/>
              </w:rPr>
              <w:t xml:space="preserve"> </w:t>
            </w:r>
            <w:r w:rsidRPr="00C559D2">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Maximum Io</w:t>
            </w:r>
          </w:p>
        </w:tc>
      </w:tr>
      <w:tr w:rsidR="00C559D2" w:rsidRPr="00C559D2" w:rsidTr="00B8152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cs="Arial"/>
                <w:b/>
                <w:sz w:val="18"/>
                <w:highlight w:val="lightGray"/>
              </w:rPr>
              <w:t xml:space="preserve">dBm / </w:t>
            </w:r>
            <w:r w:rsidRPr="00C559D2">
              <w:rPr>
                <w:rFonts w:ascii="Arial" w:hAnsi="Arial"/>
                <w:b/>
                <w:sz w:val="18"/>
                <w:highlight w:val="lightGray"/>
              </w:rPr>
              <w:t>SCS</w:t>
            </w:r>
            <w:r w:rsidRPr="00C559D2">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dBm/BW</w:t>
            </w:r>
            <w:r w:rsidRPr="00C559D2">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dBm/BW</w:t>
            </w:r>
            <w:r w:rsidRPr="00C559D2">
              <w:rPr>
                <w:rFonts w:ascii="Arial" w:hAnsi="Arial"/>
                <w:b/>
                <w:sz w:val="18"/>
                <w:highlight w:val="lightGray"/>
                <w:vertAlign w:val="subscript"/>
              </w:rPr>
              <w:t>Channel</w:t>
            </w:r>
          </w:p>
        </w:tc>
      </w:tr>
      <w:tr w:rsidR="00C559D2" w:rsidRPr="00C559D2" w:rsidTr="00B8152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r w:rsidRPr="00C559D2">
              <w:rPr>
                <w:rFonts w:ascii="Arial" w:hAnsi="Arial"/>
                <w:b/>
                <w:sz w:val="18"/>
                <w:highlight w:val="lightGray"/>
              </w:rPr>
              <w:t>SCS</w:t>
            </w:r>
            <w:r w:rsidRPr="00C559D2">
              <w:rPr>
                <w:rFonts w:ascii="Arial" w:hAnsi="Arial"/>
                <w:b/>
                <w:sz w:val="18"/>
                <w:highlight w:val="lightGray"/>
                <w:vertAlign w:val="subscript"/>
              </w:rPr>
              <w:t>SSB</w:t>
            </w:r>
            <w:r w:rsidRPr="00C559D2">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r w:rsidRPr="00C559D2">
              <w:rPr>
                <w:rFonts w:ascii="Arial" w:hAnsi="Arial"/>
                <w:b/>
                <w:sz w:val="18"/>
                <w:highlight w:val="lightGray"/>
              </w:rPr>
              <w:t>SCS</w:t>
            </w:r>
            <w:r w:rsidRPr="00C559D2">
              <w:rPr>
                <w:rFonts w:ascii="Arial" w:hAnsi="Arial"/>
                <w:b/>
                <w:sz w:val="18"/>
                <w:highlight w:val="lightGray"/>
                <w:vertAlign w:val="subscript"/>
              </w:rPr>
              <w:t>SSB</w:t>
            </w:r>
            <w:r w:rsidRPr="00C559D2">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r>
      <w:tr w:rsidR="00C559D2" w:rsidRPr="00C559D2" w:rsidTr="00B8152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NR_FDD_FR1_A, NR_TDD_FR1_A,</w:t>
            </w:r>
          </w:p>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w:t>
            </w:r>
            <w:r w:rsidRPr="00C559D2">
              <w:rPr>
                <w:rFonts w:ascii="Arial" w:hAnsi="Arial"/>
                <w:sz w:val="18"/>
                <w:highlight w:val="lightGray"/>
                <w:lang w:eastAsia="zh-CN"/>
              </w:rPr>
              <w:t>6</w:t>
            </w:r>
            <w:r w:rsidRPr="00C559D2">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r>
      <w:tr w:rsidR="00C559D2" w:rsidRPr="00885F53" w:rsidTr="00B8152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ind w:left="851" w:hanging="851"/>
              <w:rPr>
                <w:rFonts w:ascii="Arial" w:hAnsi="Arial"/>
                <w:sz w:val="18"/>
                <w:highlight w:val="lightGray"/>
              </w:rPr>
            </w:pPr>
            <w:r w:rsidRPr="00C559D2">
              <w:rPr>
                <w:rFonts w:ascii="Arial" w:hAnsi="Arial"/>
                <w:sz w:val="18"/>
                <w:highlight w:val="lightGray"/>
              </w:rPr>
              <w:t>NOTE 1:</w:t>
            </w:r>
            <w:r w:rsidRPr="00C559D2">
              <w:rPr>
                <w:rFonts w:ascii="Arial" w:hAnsi="Arial"/>
                <w:sz w:val="18"/>
                <w:highlight w:val="lightGray"/>
              </w:rPr>
              <w:tab/>
              <w:t>Io is assumed to have constant EPRE across the bandwidth.</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w:t>
            </w:r>
            <w:r w:rsidRPr="00C559D2">
              <w:rPr>
                <w:rFonts w:ascii="Arial" w:hAnsi="Arial" w:cs="Arial"/>
                <w:sz w:val="18"/>
                <w:highlight w:val="lightGray"/>
                <w:lang w:eastAsia="zh-CN"/>
              </w:rPr>
              <w:t>OTE</w:t>
            </w:r>
            <w:r w:rsidRPr="00C559D2">
              <w:rPr>
                <w:rFonts w:ascii="Arial" w:hAnsi="Arial" w:cs="Arial"/>
                <w:sz w:val="18"/>
                <w:highlight w:val="lightGray"/>
              </w:rPr>
              <w:t xml:space="preserve"> 2:</w:t>
            </w:r>
            <w:r w:rsidRPr="00C559D2">
              <w:rPr>
                <w:rFonts w:ascii="Arial" w:hAnsi="Arial" w:cs="Arial"/>
                <w:sz w:val="18"/>
                <w:highlight w:val="lightGray"/>
              </w:rPr>
              <w:tab/>
              <w:t>The same bands and the same Io conditions for each band apply for this requirement as for the corresponding highest accuracy requirement.</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NOTE 3:</w:t>
            </w:r>
            <w:r w:rsidRPr="00C559D2">
              <w:rPr>
                <w:rFonts w:ascii="Arial" w:hAnsi="Arial" w:cs="Arial"/>
                <w:sz w:val="18"/>
                <w:highlight w:val="lightGray"/>
              </w:rPr>
              <w:tab/>
              <w:t xml:space="preserve">The requirements apply for SSB Ês/Iot </w:t>
            </w:r>
            <w:r w:rsidRPr="00C559D2">
              <w:rPr>
                <w:rFonts w:ascii="Arial" w:hAnsi="Arial" w:cs="Arial" w:hint="eastAsia"/>
                <w:sz w:val="18"/>
                <w:highlight w:val="lightGray"/>
              </w:rPr>
              <w:t>≤</w:t>
            </w:r>
            <w:r w:rsidRPr="00C559D2">
              <w:rPr>
                <w:rFonts w:ascii="Arial" w:hAnsi="Arial" w:cs="Arial"/>
                <w:sz w:val="18"/>
                <w:highlight w:val="lightGray"/>
              </w:rPr>
              <w:t xml:space="preserve"> 25 dB.</w:t>
            </w:r>
          </w:p>
          <w:p w:rsidR="00C559D2" w:rsidRPr="00885F53" w:rsidRDefault="00C559D2" w:rsidP="00B81528">
            <w:pPr>
              <w:keepNext/>
              <w:keepLines/>
              <w:spacing w:after="0"/>
              <w:ind w:left="851" w:hanging="851"/>
              <w:rPr>
                <w:rFonts w:ascii="Arial" w:hAnsi="Arial"/>
                <w:sz w:val="18"/>
              </w:rPr>
            </w:pPr>
            <w:r w:rsidRPr="00C559D2">
              <w:rPr>
                <w:rFonts w:ascii="Arial" w:hAnsi="Arial" w:cs="Arial"/>
                <w:sz w:val="18"/>
                <w:highlight w:val="lightGray"/>
              </w:rPr>
              <w:t>NOTE 4:</w:t>
            </w:r>
            <w:r w:rsidRPr="00C559D2">
              <w:rPr>
                <w:rFonts w:ascii="Arial" w:hAnsi="Arial" w:cs="Arial"/>
                <w:sz w:val="18"/>
                <w:highlight w:val="lightGray"/>
              </w:rPr>
              <w:tab/>
            </w:r>
            <w:r w:rsidRPr="00C559D2">
              <w:rPr>
                <w:rFonts w:ascii="Arial" w:hAnsi="Arial"/>
                <w:sz w:val="18"/>
                <w:highlight w:val="lightGray"/>
              </w:rPr>
              <w:t>NR operating band groups in FR1 are as defined in clause 3.5.2.</w:t>
            </w:r>
          </w:p>
        </w:tc>
      </w:tr>
    </w:tbl>
    <w:p w:rsidR="00C559D2" w:rsidRPr="00885F53" w:rsidRDefault="00C559D2" w:rsidP="00C559D2">
      <w:pPr>
        <w:rPr>
          <w:lang w:eastAsia="ko-KR"/>
        </w:rPr>
      </w:pPr>
    </w:p>
    <w:p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Ês/Iot,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SSB Ês/Iot</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SSB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457565">
        <w:rPr>
          <w:rFonts w:ascii="Arial" w:hAnsi="Arial"/>
        </w:rPr>
        <w:t xml:space="preserve">SSb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457565">
        <w:rPr>
          <w:rFonts w:ascii="Arial" w:hAnsi="Arial"/>
        </w:rPr>
        <w:t xml:space="preserve">SSB </w:t>
      </w:r>
      <w:r w:rsidR="00740075" w:rsidRPr="00123986">
        <w:rPr>
          <w:rFonts w:ascii="Arial" w:hAnsi="Arial" w:hint="eastAsia"/>
        </w:rPr>
        <w:t>Es/Io</w:t>
      </w:r>
      <w:r w:rsidR="00457565">
        <w:rPr>
          <w:rFonts w:ascii="Arial" w:hAnsi="Arial"/>
        </w:rPr>
        <w:t>t</w:t>
      </w:r>
      <w:r w:rsidR="00740075" w:rsidRPr="00123986">
        <w:rPr>
          <w:rFonts w:ascii="Arial" w:hAnsi="Arial" w:hint="eastAsia"/>
        </w:rPr>
        <w:t>*</w:t>
      </w:r>
      <w:r w:rsidR="00740075" w:rsidRPr="00123986">
        <w:rPr>
          <w:rFonts w:ascii="Arial" w:hAnsi="Arial"/>
        </w:rPr>
        <w:object w:dxaOrig="480" w:dyaOrig="360">
          <v:shape id="_x0000_i1030" type="#_x0000_t75" style="width:24.1pt;height:18.2pt" o:ole="">
            <v:imagedata r:id="rId18" o:title=""/>
          </v:shape>
          <o:OLEObject Type="Embed" ProgID="Equation.3" ShapeID="_x0000_i1030" DrawAspect="Content" ObjectID="_1769536656"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Es/Iot</w:t>
      </w:r>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Cell 2 Es/Iot</w:t>
      </w:r>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Es/Iot</w:t>
      </w:r>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 xml:space="preserve">/Noc has been increased by 0.8 dB to ensure that Cell 1 </w:t>
      </w:r>
      <w:r w:rsidR="00457565">
        <w:rPr>
          <w:rFonts w:ascii="Arial" w:hAnsi="Arial"/>
          <w:lang w:eastAsia="zh-CN"/>
        </w:rPr>
        <w:t xml:space="preserve">SSB </w:t>
      </w:r>
      <w:r>
        <w:rPr>
          <w:rFonts w:ascii="Arial" w:hAnsi="Arial"/>
          <w:lang w:eastAsia="zh-CN"/>
        </w:rPr>
        <w:t xml:space="preserve">Es/Iot stays within range. </w:t>
      </w:r>
      <w:r>
        <w:rPr>
          <w:rFonts w:ascii="Arial" w:hAnsi="Arial"/>
        </w:rPr>
        <w:t>The Cell 2 Es</w:t>
      </w:r>
      <w:r>
        <w:rPr>
          <w:rFonts w:ascii="Arial" w:hAnsi="Arial"/>
          <w:lang w:eastAsia="zh-CN"/>
        </w:rPr>
        <w:t xml:space="preserve">/Noc has been increased by 0.8 dB to ensure that Cell 2 </w:t>
      </w:r>
      <w:r w:rsidR="00457565">
        <w:rPr>
          <w:rFonts w:ascii="Arial" w:hAnsi="Arial"/>
          <w:lang w:eastAsia="zh-CN"/>
        </w:rPr>
        <w:t xml:space="preserve">SSB </w:t>
      </w:r>
      <w:r>
        <w:rPr>
          <w:rFonts w:ascii="Arial" w:hAnsi="Arial"/>
          <w:lang w:eastAsia="zh-CN"/>
        </w:rPr>
        <w:t>Es/Iot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w:t>
      </w:r>
      <w:r>
        <w:rPr>
          <w:rFonts w:ascii="Arial" w:hAnsi="Arial" w:cs="Arial"/>
        </w:rPr>
        <w:t>2.</w:t>
      </w:r>
      <w:r w:rsidRPr="003F2E1C">
        <w:rPr>
          <w:rFonts w:ascii="Arial" w:hAnsi="Arial" w:cs="Arial"/>
        </w:rPr>
        <w:t>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A92EC0" w:rsidRDefault="00A92EC0" w:rsidP="00A92EC0">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of inter-frequency SS-SINR absolute accuracy test case for 2 Rx RedCap UEs in clause 16.7.3.4.1.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A92EC0"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92EC0" w:rsidRPr="00A55EFB"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92EC0" w:rsidRPr="00A55EFB" w:rsidRDefault="00A92EC0" w:rsidP="00A92EC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92EC0" w:rsidRPr="0082680D" w:rsidRDefault="00A92EC0" w:rsidP="00A92EC0">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16.7.2.4.1 config 3 sub-test 3</w:t>
      </w:r>
      <w:r w:rsidRPr="001A5B65">
        <w:rPr>
          <w:rFonts w:ascii="Arial" w:hAnsi="Arial"/>
          <w:lang w:eastAsia="zh-CN"/>
        </w:rPr>
        <w:t>.</w:t>
      </w:r>
    </w:p>
    <w:bookmarkEnd w:id="0"/>
    <w:p w:rsidR="00A92EC0" w:rsidRPr="00A92EC0" w:rsidRDefault="00A92EC0" w:rsidP="005D3C69">
      <w:pPr>
        <w:jc w:val="both"/>
        <w:rPr>
          <w:rFonts w:ascii="Arial" w:hAnsi="Arial"/>
        </w:rPr>
      </w:pP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6F8" w:rsidRDefault="001E46F8">
      <w:r>
        <w:separator/>
      </w:r>
    </w:p>
  </w:endnote>
  <w:endnote w:type="continuationSeparator" w:id="0">
    <w:p w:rsidR="001E46F8" w:rsidRDefault="001E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6F8" w:rsidRDefault="001E46F8">
      <w:r>
        <w:separator/>
      </w:r>
    </w:p>
  </w:footnote>
  <w:footnote w:type="continuationSeparator" w:id="0">
    <w:p w:rsidR="001E46F8" w:rsidRDefault="001E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0</TotalTime>
  <Pages>2</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3</cp:revision>
  <cp:lastPrinted>2011-10-04T05:21:00Z</cp:lastPrinted>
  <dcterms:created xsi:type="dcterms:W3CDTF">2024-01-04T03:40:00Z</dcterms:created>
  <dcterms:modified xsi:type="dcterms:W3CDTF">2024-02-15T13:11:00Z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ies>
</file>